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_GBK" w:cs="Times New Roman"/>
          <w:sz w:val="32"/>
          <w:szCs w:val="20"/>
        </w:rPr>
      </w:pPr>
      <w:r>
        <w:rPr>
          <w:rFonts w:hint="eastAsia" w:ascii="Times New Roman" w:hAnsi="Times New Roman" w:eastAsia="方正黑体_GBK" w:cs="Times New Roman"/>
          <w:sz w:val="32"/>
          <w:szCs w:val="20"/>
        </w:rPr>
        <w:t>附</w:t>
      </w:r>
      <w:r>
        <w:rPr>
          <w:rFonts w:hint="eastAsia" w:ascii="Times New Roman" w:hAnsi="Times New Roman" w:eastAsia="方正黑体_GBK" w:cs="Times New Roman"/>
          <w:sz w:val="32"/>
          <w:szCs w:val="20"/>
          <w:lang w:val="en-US" w:eastAsia="zh-CN"/>
        </w:rPr>
        <w:t xml:space="preserve">  </w:t>
      </w:r>
      <w:r>
        <w:rPr>
          <w:rFonts w:hint="eastAsia" w:ascii="Times New Roman" w:hAnsi="Times New Roman" w:eastAsia="方正黑体_GBK" w:cs="Times New Roman"/>
          <w:sz w:val="32"/>
          <w:szCs w:val="20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79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_GBK" w:cs="Times New Roman"/>
          <w:sz w:val="44"/>
          <w:szCs w:val="44"/>
        </w:rPr>
        <w:t>重庆市黔江区“交地即领证”“交地即开工”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79" w:lineRule="exact"/>
        <w:jc w:val="center"/>
        <w:textAlignment w:val="auto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（四证联发）实施方案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79" w:lineRule="exact"/>
        <w:jc w:val="center"/>
        <w:textAlignment w:val="auto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</w:t>
      </w:r>
      <w:r>
        <w:rPr>
          <w:rFonts w:ascii="方正楷体_GBK" w:hAnsi="方正楷体_GBK" w:eastAsia="方正楷体_GBK" w:cs="方正楷体_GBK"/>
          <w:sz w:val="32"/>
          <w:szCs w:val="32"/>
        </w:rPr>
        <w:t>试行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为深化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“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放管服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”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改革，进一步优化营商环境，为建设项目服好务，为工程建设领域改革添砖加瓦，为审批效能提速增效，特制定该实施方案。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以习近平新时代中国特色社会主义思想为指导，坚持以人民为中心的发展理念，坚持改革创新，全力推动建设项目（特别是入驻园区的产业项目）早落地、早开工、早投用，形成更多的实物工作量，为稳投资、稳增长、稳预期，助推经济社会平稳运行提供有力支撑，落实建设项目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“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交地即领证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”“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交地即开工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”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二、适用范围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黔江区内已签订投资协议的社会投资一般工业、仓储项目。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不包含以下项目：1.涉及易燃易爆危险品、危险化学品的生产和储存或者技术难度特别复杂的项目</w:t>
      </w:r>
      <w:r>
        <w:rPr>
          <w:rFonts w:hint="eastAsia" w:ascii="Times New Roman" w:hAnsi="Times New Roman" w:cs="Times New Roman"/>
          <w:kern w:val="0"/>
          <w:sz w:val="32"/>
          <w:szCs w:val="32"/>
          <w:lang w:eastAsia="zh-CN"/>
        </w:rPr>
        <w:t>；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2.关系国家安全和生态安全、涉及重大生产力布局、重大公共利益的项目</w:t>
      </w:r>
      <w:r>
        <w:rPr>
          <w:rFonts w:hint="eastAsia" w:ascii="Times New Roman" w:hAnsi="Times New Roman" w:cs="Times New Roman"/>
          <w:kern w:val="0"/>
          <w:sz w:val="32"/>
          <w:szCs w:val="32"/>
          <w:lang w:eastAsia="zh-CN"/>
        </w:rPr>
        <w:t>；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3.按规定需消防设计审查的特殊建筑工程。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三、工作内容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楷体_GBK" w:cs="Times New Roman"/>
          <w:kern w:val="0"/>
          <w:sz w:val="32"/>
          <w:szCs w:val="32"/>
          <w:shd w:val="clear" w:color="auto" w:fill="FFFFFF"/>
        </w:rPr>
        <w:t>（一）</w:t>
      </w:r>
      <w:r>
        <w:rPr>
          <w:rFonts w:hint="eastAsia" w:ascii="Times New Roman" w:hAnsi="Times New Roman" w:eastAsia="方正楷体_GBK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Times New Roman" w:hAnsi="Times New Roman" w:eastAsia="方正楷体_GBK" w:cs="Times New Roman"/>
          <w:kern w:val="0"/>
          <w:sz w:val="32"/>
          <w:szCs w:val="32"/>
          <w:shd w:val="clear" w:color="auto" w:fill="FFFFFF"/>
        </w:rPr>
        <w:t>四证联发</w:t>
      </w:r>
      <w:r>
        <w:rPr>
          <w:rFonts w:hint="eastAsia" w:ascii="Times New Roman" w:hAnsi="Times New Roman" w:eastAsia="方正楷体_GBK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Times New Roman" w:hAnsi="Times New Roman" w:eastAsia="方正楷体_GBK" w:cs="Times New Roman"/>
          <w:kern w:val="0"/>
          <w:sz w:val="32"/>
          <w:szCs w:val="32"/>
          <w:shd w:val="clear" w:color="auto" w:fill="FFFFFF"/>
        </w:rPr>
        <w:t>定义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项目单位确定建设内容后，各审批部门依申请对项目开展模拟审批，在项目依法取得土地并缴纳规费后1个工作日内，完成建设用地规划许可证、不动产权证、建设工程规划许可证和建筑工程施工许可证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四证联发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楷体_GBK" w:cs="Times New Roman"/>
          <w:kern w:val="0"/>
          <w:sz w:val="32"/>
          <w:szCs w:val="32"/>
        </w:rPr>
      </w:pPr>
      <w:r>
        <w:rPr>
          <w:rFonts w:ascii="Times New Roman" w:hAnsi="Times New Roman" w:eastAsia="方正楷体_GBK" w:cs="Times New Roman"/>
          <w:kern w:val="0"/>
          <w:sz w:val="32"/>
          <w:szCs w:val="32"/>
          <w:shd w:val="clear" w:color="auto" w:fill="FFFFFF"/>
        </w:rPr>
        <w:t>（二）审批流程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审批流程分为模拟审批和正式审批两个阶段。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3" w:firstLineChars="200"/>
        <w:textAlignment w:val="auto"/>
        <w:rPr>
          <w:rFonts w:ascii="Times New Roman" w:hAnsi="Times New Roman" w:eastAsia="方正仿宋_GBK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阶段一</w:t>
      </w:r>
      <w:r>
        <w:rPr>
          <w:rFonts w:hint="eastAsia"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：</w:t>
      </w:r>
      <w:r>
        <w:rPr>
          <w:rFonts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模拟审批：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3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1.企业承诺。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建设单位向区工程审批大厅提报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四证联发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申请承诺书。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3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2.联合预审。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区住房城乡建委、</w:t>
      </w:r>
      <w:r>
        <w:rPr>
          <w:rFonts w:hint="eastAsia" w:ascii="Times New Roman" w:hAnsi="Times New Roman" w:cs="Times New Roman"/>
          <w:kern w:val="0"/>
          <w:sz w:val="32"/>
          <w:szCs w:val="32"/>
          <w:shd w:val="clear" w:color="auto" w:fill="FFFFFF"/>
          <w:lang w:eastAsia="zh-CN"/>
        </w:rPr>
        <w:t>区规划自然资源局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接件后，迅速组织区发展改革委、区经济信息委、区生态环境局、区水利局、区城市管理局、区文化旅游委等部门召开联审会议，就项目是否符合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四证联发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条件进行会商。对符合模拟审批条件的分别向申请单位和相关审批部门出具《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四证联发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告知书》；对不符合模拟审批条件的，告知申请单位暂缓进入模拟审批程序并说明原因。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3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3.模拟审批。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区发展改革委（区国动办）、</w:t>
      </w:r>
      <w:r>
        <w:rPr>
          <w:rFonts w:hint="eastAsia" w:ascii="Times New Roman" w:hAnsi="Times New Roman" w:cs="Times New Roman"/>
          <w:kern w:val="0"/>
          <w:sz w:val="32"/>
          <w:szCs w:val="32"/>
          <w:shd w:val="clear" w:color="auto" w:fill="FFFFFF"/>
          <w:lang w:eastAsia="zh-CN"/>
        </w:rPr>
        <w:t>区规划自然资源局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、区住房城乡建委、区水利局、区文化旅游委等各部门接到《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四证联发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告知书》后，组织开展建设用地规划许可、建设工程规划许可、施工图审及建筑工程施工许可模拟审批（工业、仓储项目总建筑面积大于1万平方米时需进行人防审查）。对拿地文件为重点审查要件的行政许可事项，先行对已有材料进行初步审查；对拿地文件为非重点审查要件的行政许可事项，对已有材料进行实质性审核审查。对工程报建各环节实行并联审批，各并联审批事项涉及前置条件的，审批部门应视同已取得，先行开展模拟审批。此阶段园区内项目，由正阳工业园区管委会牵头指导建设单位同步开展不动产权籍调查、环评、安评、能评、考古勘探、文物保护、水保、规划、建设等相关评估评价（我区已开展区域评估的，应首先运用区域评估成果）和报批预审工作；园区外项目，由</w:t>
      </w:r>
      <w:r>
        <w:rPr>
          <w:rFonts w:hint="eastAsia" w:ascii="Times New Roman" w:hAnsi="Times New Roman" w:cs="Times New Roman"/>
          <w:kern w:val="0"/>
          <w:sz w:val="32"/>
          <w:szCs w:val="32"/>
          <w:shd w:val="clear" w:color="auto" w:fill="FFFFFF"/>
          <w:lang w:eastAsia="zh-CN"/>
        </w:rPr>
        <w:t>区规划自然资源局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、区住房城乡建委牵头指导建设单位开展相关工作，确保在项目正式开工前完成审批。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模拟审批不出具正式审批文件，各审批部门按现行审批要求，先行开展批前公示、出具模拟审批意见，并指导企业完善相关申请材料。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3" w:firstLineChars="200"/>
        <w:textAlignment w:val="auto"/>
        <w:rPr>
          <w:rFonts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阶段二</w:t>
      </w:r>
      <w:r>
        <w:rPr>
          <w:rFonts w:hint="eastAsia"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：</w:t>
      </w:r>
      <w:r>
        <w:rPr>
          <w:rFonts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正式审批。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3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1.四证联发。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以出让方式取得土地的，在签订出让合同后，申请单位及时准备申报资料，按规定交纳各项规费，向审批部门提出正式申请。经审查符合相关法定条件的，审批部门在1个工作日内核发建设用地规划许可证、不动产权证、建设工程规划许可证和建筑工程施工许可证。涉及批前公示的，若批前公示期间无异议，直接核发许可；若批前公示期间有异议，处理无异议后核发许可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3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2.特殊情形。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已通过模拟审批的项目，发生下列情形之一的，应重新报批：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①项目建设地点或用地范围发生变更；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②项目总投资以及建设规模等发生重大变更；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③公示期间收到有效反馈意见影响作出行政许可的；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④施工图与规划审批方案、规划许可证不符的;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⑤其他不符合法律、法规和规范要求的。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3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3</w:t>
      </w:r>
      <w:r>
        <w:rPr>
          <w:rFonts w:hint="eastAsia" w:ascii="Times New Roman" w:hAnsi="Times New Roman" w:cs="Times New Roman"/>
          <w:b/>
          <w:bCs/>
          <w:kern w:val="0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ascii="Times New Roman" w:hAnsi="Times New Roman" w:eastAsia="方正仿宋_GBK" w:cs="Times New Roman"/>
          <w:b/>
          <w:bCs/>
          <w:kern w:val="0"/>
          <w:sz w:val="32"/>
          <w:szCs w:val="32"/>
          <w:shd w:val="clear" w:color="auto" w:fill="FFFFFF"/>
        </w:rPr>
        <w:t>惩戒机制。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建设单位未按照要求落实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四证联发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申请承诺书内容，存在弄虚作假等行为的，一经查实，即刻终止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四证联发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审批服务程序；失信行为信息由相关部门记入企业诚信档案，同步纳入工程建设项目审批管理系统。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黑体_GBK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黑体_GBK" w:cs="Times New Roman"/>
          <w:kern w:val="0"/>
          <w:sz w:val="32"/>
          <w:szCs w:val="32"/>
          <w:shd w:val="clear" w:color="auto" w:fill="FFFFFF"/>
        </w:rPr>
        <w:t>四、申请材料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1.申请书各1份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sz w:val="32"/>
          <w:szCs w:val="32"/>
        </w:rPr>
        <w:t>不动产登记申请、交地申请、工程规划许可申请、施工许可申请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2.身份证明材料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：</w:t>
      </w:r>
      <w:r>
        <w:rPr>
          <w:rFonts w:ascii="Times New Roman" w:hAnsi="Times New Roman" w:eastAsia="方正仿宋_GBK" w:cs="Times New Roman"/>
          <w:sz w:val="32"/>
          <w:szCs w:val="32"/>
        </w:rPr>
        <w:t>单位营业执照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sz w:val="32"/>
          <w:szCs w:val="32"/>
        </w:rPr>
        <w:t>验原件，由受理人员复印留底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sz w:val="32"/>
          <w:szCs w:val="32"/>
        </w:rPr>
        <w:t>、法定代表人授权委托书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sz w:val="32"/>
          <w:szCs w:val="32"/>
        </w:rPr>
        <w:t>收原件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sz w:val="32"/>
          <w:szCs w:val="32"/>
        </w:rPr>
        <w:t>、法定代表人和委托代理人身份证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sz w:val="32"/>
          <w:szCs w:val="32"/>
        </w:rPr>
        <w:t>由窗口人员读取身份证原件信息留底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3.出让价款交款凭据及完税凭证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：</w:t>
      </w:r>
      <w:r>
        <w:rPr>
          <w:rFonts w:ascii="Times New Roman" w:hAnsi="Times New Roman" w:eastAsia="方正仿宋_GBK" w:cs="Times New Roman"/>
          <w:sz w:val="32"/>
          <w:szCs w:val="32"/>
        </w:rPr>
        <w:t>出让金缴款发票或划拨成本缴款票据复印件1份（验原件）、完税凭证（收原件）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4.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建设工程设计方案图纸（原件</w:t>
      </w:r>
      <w:r>
        <w:rPr>
          <w:rFonts w:ascii="Times New Roman" w:hAnsi="Times New Roman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份、矢量电子图</w:t>
      </w:r>
      <w:r>
        <w:rPr>
          <w:rFonts w:ascii="Times New Roman" w:hAnsi="Times New Roman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份）（设计图纸需包含设计说明、总平面图、各层平面图、剖面图、各朝向立面图，以及必要的彩色渲染效果图、鸟瞰图、分析图等；需包含《建设工程技术经济指标计算书》《建设工程建筑面积及计容建筑面积明细表》；规划条件函载明需要提交三维仿真模型的项目，设计图纸还应包含三维仿真建筑精模电子资料）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5.中标通知书或施工合同协议书部分；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6.施工图技术审查意见；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autoSpaceDE/>
        <w:autoSpaceDN/>
        <w:bidi w:val="0"/>
        <w:adjustRightIn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7.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《建设工程规划许可证承诺书》《建设工程施工许可办理承诺书》（原件各</w:t>
      </w:r>
      <w:r>
        <w:rPr>
          <w:rFonts w:ascii="Times New Roman" w:hAnsi="Times New Roman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方正仿宋_GBK" w:cs="Times New Roman"/>
          <w:sz w:val="32"/>
          <w:szCs w:val="32"/>
        </w:rPr>
        <w:t>份）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3"/>
          <w:numId w:val="0"/>
        </w:numPr>
        <w:kinsoku/>
        <w:wordWrap/>
        <w:overflowPunct/>
        <w:topLinePunct/>
        <w:autoSpaceDE/>
        <w:autoSpaceDN/>
        <w:bidi w:val="0"/>
        <w:adjustRightInd/>
        <w:snapToGrid w:val="0"/>
        <w:spacing w:line="579" w:lineRule="exact"/>
        <w:ind w:firstLine="640" w:firstLineChars="200"/>
        <w:textAlignment w:val="auto"/>
        <w:rPr>
          <w:rFonts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t>本《方案》（试行）自印发之日起施行。</w:t>
      </w:r>
    </w:p>
    <w:p>
      <w:pPr>
        <w:pStyle w:val="2"/>
        <w:rPr>
          <w:rFonts w:hint="default"/>
        </w:rPr>
      </w:pPr>
    </w:p>
    <w:sectPr>
      <w:footerReference r:id="rId3" w:type="default"/>
      <w:pgSz w:w="11906" w:h="16838"/>
      <w:pgMar w:top="2098" w:right="1474" w:bottom="1984" w:left="1587" w:header="1134" w:footer="113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ZjAxMDgyZDBkODVkYzlkYmVhNGUwMWJjMTRjN2YifQ=="/>
  </w:docVars>
  <w:rsids>
    <w:rsidRoot w:val="6A661CE9"/>
    <w:rsid w:val="08452AE3"/>
    <w:rsid w:val="0B263506"/>
    <w:rsid w:val="0B3F1867"/>
    <w:rsid w:val="13630E68"/>
    <w:rsid w:val="13AE71F7"/>
    <w:rsid w:val="15C267AC"/>
    <w:rsid w:val="1CC50607"/>
    <w:rsid w:val="1E5D692C"/>
    <w:rsid w:val="25B74E88"/>
    <w:rsid w:val="2C876953"/>
    <w:rsid w:val="2CD72C54"/>
    <w:rsid w:val="2E7E3FEE"/>
    <w:rsid w:val="31022300"/>
    <w:rsid w:val="3311299C"/>
    <w:rsid w:val="35414B88"/>
    <w:rsid w:val="3A0C5522"/>
    <w:rsid w:val="3B9A7137"/>
    <w:rsid w:val="3E03671E"/>
    <w:rsid w:val="424909A8"/>
    <w:rsid w:val="47B70069"/>
    <w:rsid w:val="47BA6896"/>
    <w:rsid w:val="4A002A30"/>
    <w:rsid w:val="4A9E3AB3"/>
    <w:rsid w:val="4C6D6221"/>
    <w:rsid w:val="4D027BAE"/>
    <w:rsid w:val="51D22277"/>
    <w:rsid w:val="52EF556F"/>
    <w:rsid w:val="53AE08A2"/>
    <w:rsid w:val="5F1D14C4"/>
    <w:rsid w:val="60EF50F1"/>
    <w:rsid w:val="63844F30"/>
    <w:rsid w:val="63B56C84"/>
    <w:rsid w:val="63CD66A7"/>
    <w:rsid w:val="64757F05"/>
    <w:rsid w:val="6A661CE9"/>
    <w:rsid w:val="6F2A699F"/>
    <w:rsid w:val="710E0AD6"/>
    <w:rsid w:val="712426CE"/>
    <w:rsid w:val="71BF6659"/>
    <w:rsid w:val="74C716DC"/>
    <w:rsid w:val="7A05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0"/>
    <w:pPr>
      <w:keepNext/>
      <w:spacing w:line="440" w:lineRule="exact"/>
      <w:jc w:val="both"/>
      <w:outlineLvl w:val="0"/>
    </w:pPr>
    <w:rPr>
      <w:rFonts w:ascii="Times New Roman" w:hAnsi="Times New Roman" w:eastAsia="方正黑体_GBK"/>
      <w:b/>
      <w:bCs/>
      <w:sz w:val="32"/>
    </w:rPr>
  </w:style>
  <w:style w:type="paragraph" w:styleId="4">
    <w:name w:val="heading 2"/>
    <w:basedOn w:val="1"/>
    <w:next w:val="1"/>
    <w:link w:val="24"/>
    <w:semiHidden/>
    <w:unhideWhenUsed/>
    <w:qFormat/>
    <w:uiPriority w:val="0"/>
    <w:pPr>
      <w:keepNext w:val="0"/>
      <w:keepLines w:val="0"/>
      <w:spacing w:line="440" w:lineRule="exact"/>
      <w:ind w:firstLine="720" w:firstLineChars="200"/>
      <w:outlineLvl w:val="1"/>
    </w:pPr>
    <w:rPr>
      <w:rFonts w:ascii="Cambria" w:hAnsi="Cambria" w:eastAsia="方正楷体_GBK" w:cs="Times New Roman"/>
      <w:sz w:val="30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 w:val="0"/>
      <w:keepLines w:val="0"/>
      <w:spacing w:beforeLines="0" w:beforeAutospacing="0" w:afterLines="0" w:afterAutospacing="0" w:line="560" w:lineRule="exact"/>
      <w:ind w:firstLine="720" w:firstLineChars="200"/>
      <w:outlineLvl w:val="2"/>
    </w:pPr>
    <w:rPr>
      <w:rFonts w:ascii="Calibri" w:hAnsi="Calibri" w:eastAsia="方正楷体_GBK" w:cs="Times New Roman"/>
      <w:sz w:val="32"/>
    </w:rPr>
  </w:style>
  <w:style w:type="paragraph" w:styleId="2">
    <w:name w:val="heading 4"/>
    <w:basedOn w:val="1"/>
    <w:next w:val="1"/>
    <w:semiHidden/>
    <w:unhideWhenUsed/>
    <w:qFormat/>
    <w:uiPriority w:val="0"/>
    <w:pPr>
      <w:keepNext w:val="0"/>
      <w:keepLines w:val="0"/>
      <w:spacing w:line="560" w:lineRule="exact"/>
      <w:outlineLvl w:val="3"/>
    </w:pPr>
    <w:rPr>
      <w:rFonts w:ascii="Arial" w:hAnsi="Arial" w:eastAsia="方正仿宋_GBK"/>
      <w:sz w:val="32"/>
      <w:szCs w:val="28"/>
    </w:rPr>
  </w:style>
  <w:style w:type="character" w:default="1" w:styleId="18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ind w:firstLine="420" w:firstLineChars="200"/>
    </w:pPr>
  </w:style>
  <w:style w:type="paragraph" w:styleId="7">
    <w:name w:val="Body Text"/>
    <w:basedOn w:val="1"/>
    <w:next w:val="8"/>
    <w:autoRedefine/>
    <w:qFormat/>
    <w:uiPriority w:val="0"/>
    <w:pPr>
      <w:spacing w:after="120" w:afterLines="0" w:afterAutospacing="0"/>
    </w:pPr>
  </w:style>
  <w:style w:type="paragraph" w:customStyle="1" w:styleId="8">
    <w:name w:val="默认"/>
    <w:qFormat/>
    <w:uiPriority w:val="0"/>
    <w:rPr>
      <w:rFonts w:ascii="Helvetica" w:hAnsi="Helvetica" w:eastAsia="Helvetica" w:cs="Times New Roman"/>
      <w:color w:val="000000"/>
      <w:sz w:val="22"/>
      <w:szCs w:val="22"/>
      <w:lang w:val="en-US" w:eastAsia="zh-CN" w:bidi="ar-SA"/>
    </w:rPr>
  </w:style>
  <w:style w:type="paragraph" w:styleId="9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Message Header"/>
    <w:basedOn w:val="1"/>
    <w:autoRedefine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13">
    <w:name w:val="Normal (Web)"/>
    <w:basedOn w:val="1"/>
    <w:qFormat/>
    <w:uiPriority w:val="99"/>
    <w:pPr>
      <w:spacing w:beforeAutospacing="1" w:afterAutospacing="1"/>
      <w:jc w:val="left"/>
    </w:pPr>
    <w:rPr>
      <w:rFonts w:eastAsia="宋体"/>
      <w:kern w:val="0"/>
      <w:sz w:val="24"/>
      <w:szCs w:val="24"/>
    </w:rPr>
  </w:style>
  <w:style w:type="paragraph" w:styleId="1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paragraph" w:styleId="16">
    <w:name w:val="Body Text First Indent 2"/>
    <w:basedOn w:val="9"/>
    <w:autoRedefine/>
    <w:qFormat/>
    <w:uiPriority w:val="0"/>
    <w:pPr>
      <w:ind w:firstLine="420" w:firstLineChars="200"/>
    </w:pPr>
  </w:style>
  <w:style w:type="paragraph" w:customStyle="1" w:styleId="19">
    <w:name w:val="一级标题"/>
    <w:basedOn w:val="1"/>
    <w:qFormat/>
    <w:uiPriority w:val="0"/>
    <w:pPr>
      <w:spacing w:line="560" w:lineRule="exact"/>
    </w:pPr>
    <w:rPr>
      <w:rFonts w:hint="eastAsia" w:ascii="方正楷体_GBK" w:hAnsi="方正楷体_GBK" w:eastAsia="方正小标宋_GBK" w:cs="方正楷体_GBK"/>
      <w:sz w:val="36"/>
      <w:szCs w:val="21"/>
    </w:rPr>
  </w:style>
  <w:style w:type="paragraph" w:customStyle="1" w:styleId="20">
    <w:name w:val="二级标题"/>
    <w:basedOn w:val="1"/>
    <w:qFormat/>
    <w:uiPriority w:val="0"/>
    <w:pPr>
      <w:spacing w:line="560" w:lineRule="exact"/>
      <w:ind w:firstLine="0" w:firstLineChars="0"/>
    </w:pPr>
    <w:rPr>
      <w:rFonts w:hint="eastAsia" w:ascii="方正仿宋_GBK" w:hAnsi="方正仿宋_GBK" w:eastAsia="方正黑体_GBK" w:cs="方正仿宋_GBK"/>
      <w:sz w:val="32"/>
      <w:szCs w:val="32"/>
    </w:rPr>
  </w:style>
  <w:style w:type="paragraph" w:customStyle="1" w:styleId="21">
    <w:name w:val="三级标题（楷体）"/>
    <w:basedOn w:val="1"/>
    <w:qFormat/>
    <w:uiPriority w:val="0"/>
    <w:pPr>
      <w:spacing w:line="560" w:lineRule="exact"/>
      <w:ind w:firstLine="0" w:firstLineChars="0"/>
    </w:pPr>
    <w:rPr>
      <w:rFonts w:hint="eastAsia" w:ascii="方正仿宋_GBK" w:hAnsi="方正仿宋_GBK" w:eastAsia="方正楷体_GBK" w:cs="方正仿宋_GBK"/>
      <w:color w:val="FF0000"/>
      <w:sz w:val="32"/>
      <w:szCs w:val="32"/>
    </w:rPr>
  </w:style>
  <w:style w:type="paragraph" w:customStyle="1" w:styleId="22">
    <w:name w:val="四级标题（仿宋）"/>
    <w:basedOn w:val="1"/>
    <w:autoRedefine/>
    <w:qFormat/>
    <w:uiPriority w:val="0"/>
    <w:pPr>
      <w:spacing w:line="560" w:lineRule="exact"/>
      <w:ind w:firstLine="0" w:firstLineChars="0"/>
    </w:pPr>
    <w:rPr>
      <w:rFonts w:hint="eastAsia" w:ascii="方正仿宋_GBK" w:hAnsi="方正仿宋_GBK" w:eastAsia="方正仿宋_GBK" w:cs="方正仿宋_GBK"/>
      <w:color w:val="FF0000"/>
      <w:sz w:val="32"/>
      <w:szCs w:val="32"/>
    </w:rPr>
  </w:style>
  <w:style w:type="character" w:customStyle="1" w:styleId="23">
    <w:name w:val="标题 1 Char"/>
    <w:link w:val="3"/>
    <w:qFormat/>
    <w:uiPriority w:val="0"/>
    <w:rPr>
      <w:rFonts w:ascii="Times New Roman" w:hAnsi="Times New Roman" w:eastAsia="方正黑体_GBK" w:cs="Times New Roman"/>
      <w:kern w:val="44"/>
      <w:sz w:val="32"/>
    </w:rPr>
  </w:style>
  <w:style w:type="character" w:customStyle="1" w:styleId="24">
    <w:name w:val="标题 2 Char"/>
    <w:link w:val="4"/>
    <w:autoRedefine/>
    <w:qFormat/>
    <w:uiPriority w:val="0"/>
    <w:rPr>
      <w:rFonts w:ascii="Cambria" w:hAnsi="Cambria" w:eastAsia="方正楷体_GBK" w:cs="Times New Roman"/>
      <w:sz w:val="32"/>
      <w:szCs w:val="32"/>
    </w:rPr>
  </w:style>
  <w:style w:type="character" w:customStyle="1" w:styleId="25">
    <w:name w:val="NormalCharacter"/>
    <w:autoRedefine/>
    <w:qFormat/>
    <w:uiPriority w:val="0"/>
    <w:rPr>
      <w:rFonts w:ascii="Times New Roman" w:hAnsi="Times New Roman"/>
      <w:kern w:val="2"/>
      <w:sz w:val="21"/>
      <w:lang w:val="en-US" w:eastAsia="zh-CN" w:bidi="ar-SA"/>
    </w:rPr>
  </w:style>
  <w:style w:type="paragraph" w:customStyle="1" w:styleId="26">
    <w:name w:val="表格文字"/>
    <w:basedOn w:val="1"/>
    <w:autoRedefine/>
    <w:qFormat/>
    <w:uiPriority w:val="0"/>
    <w:pPr>
      <w:spacing w:line="360" w:lineRule="auto"/>
      <w:jc w:val="left"/>
    </w:pPr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2023-12-21T07:10:00Z</dcterms:created>
  <dc:creator>冉涛</dc:creator>
  <cp:lastModifiedBy>冯晏源</cp:lastModifiedBy>
  <dcterms:modified xsi:type="dcterms:W3CDTF">2024-01-02T05:03:44Z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CD9CE77BA88D455399DDDCF084F8C203_13</vt:lpwstr>
  </property>
</Properties>
</file>