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仿宋_GB2312"/>
          <w:sz w:val="32"/>
          <w:szCs w:val="32"/>
        </w:rPr>
      </w:pPr>
    </w:p>
    <w:p>
      <w:pPr>
        <w:spacing w:line="560" w:lineRule="exact"/>
        <w:jc w:val="center"/>
        <w:rPr>
          <w:rFonts w:ascii="Times New Roman" w:hAnsi="Times New Roman" w:eastAsia="仿宋_GB2312"/>
          <w:sz w:val="32"/>
          <w:szCs w:val="32"/>
        </w:rPr>
      </w:pPr>
    </w:p>
    <w:p>
      <w:pPr>
        <w:spacing w:line="560" w:lineRule="exact"/>
        <w:jc w:val="center"/>
        <w:rPr>
          <w:rFonts w:ascii="Times New Roman" w:hAnsi="Times New Roman" w:eastAsia="仿宋_GB2312"/>
          <w:sz w:val="32"/>
          <w:szCs w:val="32"/>
        </w:rPr>
      </w:pPr>
    </w:p>
    <w:p>
      <w:pPr>
        <w:jc w:val="center"/>
        <w:rPr>
          <w:rFonts w:ascii="Times New Roman" w:hAnsi="Times New Roman" w:eastAsia="方正小标宋简体"/>
          <w:b/>
          <w:bCs/>
          <w:color w:val="FF0000"/>
          <w:w w:val="66"/>
          <w:sz w:val="100"/>
          <w:szCs w:val="100"/>
        </w:rPr>
      </w:pPr>
      <w:r>
        <w:rPr>
          <w:rFonts w:ascii="Times New Roman" w:hAnsi="Times New Roman" w:eastAsia="方正小标宋简体"/>
          <w:b/>
          <w:bCs/>
          <w:color w:val="FF0000"/>
          <w:w w:val="66"/>
          <w:sz w:val="100"/>
          <w:szCs w:val="100"/>
        </w:rPr>
        <w:t>重庆市黔江区医疗保障局文件</w:t>
      </w:r>
    </w:p>
    <w:p>
      <w:pPr>
        <w:adjustRightInd w:val="0"/>
        <w:snapToGrid w:val="0"/>
        <w:spacing w:line="560" w:lineRule="exact"/>
        <w:jc w:val="center"/>
        <w:textAlignment w:val="center"/>
        <w:rPr>
          <w:rFonts w:ascii="Times New Roman" w:hAnsi="Times New Roman" w:eastAsia="方正仿宋_GBK"/>
          <w:sz w:val="32"/>
          <w:szCs w:val="32"/>
        </w:rPr>
      </w:pPr>
    </w:p>
    <w:p>
      <w:pPr>
        <w:adjustRightInd w:val="0"/>
        <w:snapToGrid w:val="0"/>
        <w:spacing w:line="560" w:lineRule="exact"/>
        <w:jc w:val="center"/>
        <w:textAlignment w:val="center"/>
        <w:rPr>
          <w:rFonts w:ascii="Times New Roman" w:hAnsi="Times New Roman" w:eastAsia="方正仿宋_GBK"/>
          <w:sz w:val="32"/>
          <w:szCs w:val="32"/>
        </w:rPr>
      </w:pPr>
      <w:r>
        <w:rPr>
          <w:rFonts w:ascii="Times New Roman" w:hAnsi="Times New Roman" w:eastAsia="方正仿宋_GBK"/>
          <w:sz w:val="32"/>
          <w:szCs w:val="32"/>
        </w:rPr>
        <w:t>黔江医保发〔20</w:t>
      </w:r>
      <w:r>
        <w:rPr>
          <w:rFonts w:hint="eastAsia" w:ascii="Times New Roman" w:hAnsi="Times New Roman" w:eastAsia="方正仿宋_GBK"/>
          <w:sz w:val="32"/>
          <w:szCs w:val="32"/>
        </w:rPr>
        <w:t>21</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25</w:t>
      </w:r>
      <w:r>
        <w:rPr>
          <w:rFonts w:ascii="Times New Roman" w:hAnsi="Times New Roman" w:eastAsia="方正仿宋_GBK"/>
          <w:sz w:val="32"/>
          <w:szCs w:val="32"/>
        </w:rPr>
        <w:t>号</w:t>
      </w:r>
    </w:p>
    <w:p>
      <w:pPr>
        <w:adjustRightInd w:val="0"/>
        <w:snapToGrid w:val="0"/>
        <w:spacing w:line="560" w:lineRule="exact"/>
        <w:jc w:val="center"/>
        <w:textAlignment w:val="center"/>
        <w:rPr>
          <w:rFonts w:ascii="Times New Roman" w:hAnsi="Times New Roman" w:eastAsia="仿宋_GB2312"/>
          <w:sz w:val="32"/>
          <w:szCs w:val="32"/>
        </w:rPr>
      </w:pPr>
      <w:r>
        <w:rPr>
          <w:rFonts w:ascii="Times New Roman" w:hAnsi="Times New Roman"/>
          <w:szCs w:val="24"/>
        </w:rPr>
        <w:pict>
          <v:line id="直线 2" o:spid="_x0000_s1029" o:spt="20" style="position:absolute;left:0pt;margin-left:0pt;margin-top:1.05pt;height:0pt;width:435.75pt;z-index:251663360;mso-width-relative:page;mso-height-relative:page;" stroked="t" coordsize="21600,21600">
            <v:path arrowok="t"/>
            <v:fill focussize="0,0"/>
            <v:stroke weight="2pt" color="#FF0000"/>
            <v:imagedata o:title=""/>
            <o:lock v:ext="edit"/>
          </v:line>
        </w:pict>
      </w:r>
    </w:p>
    <w:p>
      <w:pPr>
        <w:keepNext w:val="0"/>
        <w:keepLines w:val="0"/>
        <w:pageBreakBefore w:val="0"/>
        <w:widowControl w:val="0"/>
        <w:kinsoku/>
        <w:wordWrap/>
        <w:overflowPunct/>
        <w:topLinePunct w:val="0"/>
        <w:autoSpaceDE/>
        <w:autoSpaceDN/>
        <w:bidi w:val="0"/>
        <w:adjustRightInd/>
        <w:snapToGrid/>
        <w:spacing w:line="600" w:lineRule="exact"/>
        <w:ind w:left="1199" w:hanging="720"/>
        <w:jc w:val="center"/>
        <w:textAlignment w:val="auto"/>
        <w:rPr>
          <w:rFonts w:ascii="方正小标宋_GBK" w:eastAsia="方正小标宋_GBK"/>
          <w:sz w:val="44"/>
          <w:szCs w:val="44"/>
        </w:rPr>
      </w:pPr>
      <w:r>
        <w:rPr>
          <w:rFonts w:hint="eastAsia" w:ascii="方正小标宋_GBK" w:eastAsia="方正小标宋_GBK"/>
          <w:sz w:val="44"/>
          <w:szCs w:val="44"/>
        </w:rPr>
        <w:t>重庆市黔江区医疗保障局</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转发《重庆市医疗保障局关于做好城镇职工</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高血压糖尿病门诊用药保障的通知》</w:t>
      </w:r>
    </w:p>
    <w:p>
      <w:pPr>
        <w:spacing w:line="560" w:lineRule="exact"/>
        <w:jc w:val="center"/>
        <w:rPr>
          <w:rFonts w:ascii="方正小标宋_GBK" w:eastAsia="方正小标宋_GBK"/>
          <w:sz w:val="44"/>
          <w:szCs w:val="44"/>
        </w:rPr>
      </w:pPr>
      <w:r>
        <w:rPr>
          <w:rFonts w:hint="eastAsia" w:ascii="方正小标宋_GBK" w:eastAsia="方正小标宋_GBK"/>
          <w:sz w:val="44"/>
          <w:szCs w:val="44"/>
        </w:rPr>
        <w:t>的通知</w:t>
      </w:r>
    </w:p>
    <w:p>
      <w:pPr>
        <w:keepNext w:val="0"/>
        <w:keepLines w:val="0"/>
        <w:pageBreakBefore w:val="0"/>
        <w:widowControl/>
        <w:shd w:val="clear" w:color="auto" w:fill="FFFFFF"/>
        <w:kinsoku/>
        <w:wordWrap/>
        <w:overflowPunct/>
        <w:topLinePunct w:val="0"/>
        <w:autoSpaceDE/>
        <w:autoSpaceDN/>
        <w:bidi w:val="0"/>
        <w:adjustRightInd/>
        <w:spacing w:before="0" w:beforeAutospacing="0" w:afterAutospacing="0" w:line="540" w:lineRule="exact"/>
        <w:textAlignment w:val="auto"/>
        <w:rPr>
          <w:rFonts w:hint="eastAsia"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spacing w:line="540" w:lineRule="exac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各城镇职工基本医疗保险参保单位、各协议医药机构、以个人身份参加城镇职工医疗保险</w:t>
      </w:r>
      <w:r>
        <w:rPr>
          <w:rFonts w:hint="eastAsia" w:ascii="方正仿宋_GBK" w:hAnsi="方正仿宋_GBK" w:eastAsia="方正仿宋_GBK" w:cs="方正仿宋_GBK"/>
          <w:color w:val="000000"/>
          <w:kern w:val="0"/>
          <w:sz w:val="32"/>
          <w:szCs w:val="32"/>
          <w:lang w:eastAsia="zh-CN"/>
        </w:rPr>
        <w:t>参保</w:t>
      </w:r>
      <w:r>
        <w:rPr>
          <w:rFonts w:hint="eastAsia" w:ascii="方正仿宋_GBK" w:hAnsi="方正仿宋_GBK" w:eastAsia="方正仿宋_GBK" w:cs="方正仿宋_GBK"/>
          <w:color w:val="000000"/>
          <w:kern w:val="0"/>
          <w:sz w:val="32"/>
          <w:szCs w:val="32"/>
        </w:rPr>
        <w:t>人员：</w:t>
      </w:r>
    </w:p>
    <w:p>
      <w:pPr>
        <w:pStyle w:val="8"/>
        <w:keepNext w:val="0"/>
        <w:keepLines w:val="0"/>
        <w:pageBreakBefore w:val="0"/>
        <w:widowControl w:val="0"/>
        <w:kinsoku/>
        <w:wordWrap/>
        <w:overflowPunct/>
        <w:topLinePunct w:val="0"/>
        <w:autoSpaceDE/>
        <w:autoSpaceDN/>
        <w:bidi w:val="0"/>
        <w:adjustRightInd/>
        <w:spacing w:before="0" w:after="0" w:line="540" w:lineRule="exact"/>
        <w:ind w:firstLine="640" w:firstLineChars="200"/>
        <w:jc w:val="both"/>
        <w:textAlignment w:val="auto"/>
        <w:rPr>
          <w:rFonts w:hint="eastAsia" w:ascii="方正仿宋_GBK" w:hAnsi="方正仿宋_GBK" w:eastAsia="方正仿宋_GBK" w:cs="方正仿宋_GBK"/>
          <w:b w:val="0"/>
          <w:bCs w:val="0"/>
          <w:color w:val="000000"/>
        </w:rPr>
      </w:pPr>
      <w:r>
        <w:rPr>
          <w:rFonts w:hint="eastAsia" w:ascii="方正仿宋_GBK" w:hAnsi="方正仿宋_GBK" w:eastAsia="方正仿宋_GBK" w:cs="方正仿宋_GBK"/>
          <w:b w:val="0"/>
          <w:bCs w:val="0"/>
          <w:color w:val="000000"/>
        </w:rPr>
        <w:t>现将《重庆市医疗保障局关于做好城镇职工高血压糖尿病门诊用药保障的通知》（渝医保发〔2021〕32号）文件转发给你们，</w:t>
      </w:r>
      <w:r>
        <w:rPr>
          <w:rFonts w:hint="eastAsia" w:ascii="方正仿宋_GBK" w:hAnsi="方正仿宋_GBK" w:eastAsia="方正仿宋_GBK" w:cs="方正仿宋_GBK"/>
          <w:b w:val="0"/>
          <w:bCs w:val="0"/>
          <w:color w:val="000000"/>
          <w:lang w:eastAsia="zh-CN"/>
        </w:rPr>
        <w:t>并</w:t>
      </w:r>
      <w:r>
        <w:rPr>
          <w:rFonts w:hint="eastAsia" w:ascii="方正仿宋_GBK" w:hAnsi="方正仿宋_GBK" w:eastAsia="方正仿宋_GBK" w:cs="方正仿宋_GBK"/>
          <w:b w:val="0"/>
          <w:bCs w:val="0"/>
          <w:color w:val="000000"/>
        </w:rPr>
        <w:t>结合</w:t>
      </w:r>
      <w:r>
        <w:rPr>
          <w:rFonts w:hint="eastAsia" w:ascii="方正仿宋_GBK" w:hAnsi="方正仿宋_GBK" w:eastAsia="方正仿宋_GBK" w:cs="方正仿宋_GBK"/>
          <w:b w:val="0"/>
          <w:bCs w:val="0"/>
          <w:color w:val="000000"/>
          <w:lang w:eastAsia="zh-CN"/>
        </w:rPr>
        <w:t>我区</w:t>
      </w:r>
      <w:r>
        <w:rPr>
          <w:rFonts w:hint="eastAsia" w:ascii="方正仿宋_GBK" w:hAnsi="方正仿宋_GBK" w:eastAsia="方正仿宋_GBK" w:cs="方正仿宋_GBK"/>
          <w:b w:val="0"/>
          <w:bCs w:val="0"/>
          <w:color w:val="000000"/>
        </w:rPr>
        <w:t>实际，就做好我区城镇职工高血压、糖尿病（以下简称“两病”）门诊用药保障有关问题提出如下贯彻意见，请一并遵照执行。</w:t>
      </w:r>
    </w:p>
    <w:p>
      <w:pPr>
        <w:keepNext w:val="0"/>
        <w:keepLines w:val="0"/>
        <w:pageBreakBefore w:val="0"/>
        <w:widowControl w:val="0"/>
        <w:numPr>
          <w:ilvl w:val="0"/>
          <w:numId w:val="1"/>
        </w:numPr>
        <w:kinsoku/>
        <w:wordWrap/>
        <w:overflowPunct/>
        <w:topLinePunct w:val="0"/>
        <w:autoSpaceDE/>
        <w:autoSpaceDN/>
        <w:bidi w:val="0"/>
        <w:adjustRightInd/>
        <w:spacing w:line="540" w:lineRule="exact"/>
        <w:ind w:firstLine="640" w:firstLineChars="20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参加城镇职工基本医疗保险的参保人员，在定点医疗机构就</w:t>
      </w:r>
      <w:r>
        <w:rPr>
          <w:rFonts w:hint="eastAsia" w:ascii="方正仿宋_GBK" w:hAnsi="方正仿宋_GBK" w:eastAsia="方正仿宋_GBK" w:cs="方正仿宋_GBK"/>
          <w:color w:val="000000"/>
          <w:kern w:val="0"/>
          <w:sz w:val="32"/>
          <w:szCs w:val="32"/>
          <w:lang w:eastAsia="zh-CN"/>
        </w:rPr>
        <w:t>诊</w:t>
      </w:r>
      <w:r>
        <w:rPr>
          <w:rFonts w:hint="eastAsia" w:ascii="方正仿宋_GBK" w:hAnsi="方正仿宋_GBK" w:eastAsia="方正仿宋_GBK" w:cs="方正仿宋_GBK"/>
          <w:color w:val="000000"/>
          <w:kern w:val="0"/>
          <w:sz w:val="32"/>
          <w:szCs w:val="32"/>
        </w:rPr>
        <w:t>过程中符合“两病”诊断标准或已经在卫生健康部门实行规范化管理的</w:t>
      </w:r>
      <w:r>
        <w:rPr>
          <w:rFonts w:hint="eastAsia" w:ascii="方正仿宋_GBK" w:hAnsi="方正仿宋_GBK" w:eastAsia="方正仿宋_GBK" w:cs="方正仿宋_GBK"/>
          <w:sz w:val="32"/>
          <w:szCs w:val="32"/>
        </w:rPr>
        <w:t>“两病”患者</w:t>
      </w:r>
      <w:r>
        <w:rPr>
          <w:rFonts w:hint="eastAsia" w:ascii="方正仿宋_GBK" w:hAnsi="方正仿宋_GBK" w:eastAsia="方正仿宋_GBK" w:cs="方正仿宋_GBK"/>
          <w:color w:val="000000"/>
          <w:kern w:val="0"/>
          <w:sz w:val="32"/>
          <w:szCs w:val="32"/>
        </w:rPr>
        <w:t>，可在我区所有定点医疗机构直接申请办理“两病”门诊用药资格。</w:t>
      </w:r>
      <w:r>
        <w:rPr>
          <w:rFonts w:hint="eastAsia" w:ascii="方正仿宋_GBK" w:hAnsi="方正仿宋_GBK" w:eastAsia="方正仿宋_GBK" w:cs="方正仿宋_GBK"/>
          <w:sz w:val="32"/>
          <w:szCs w:val="32"/>
        </w:rPr>
        <w:t>各定点医疗机构要将符合“两病”条件的患者及时纳入门诊用药保障范围，强化服务指导，实现“两病”患者</w:t>
      </w:r>
      <w:r>
        <w:rPr>
          <w:rFonts w:hint="eastAsia" w:ascii="方正仿宋_GBK" w:hAnsi="方正仿宋_GBK" w:eastAsia="方正仿宋_GBK" w:cs="方正仿宋_GBK"/>
          <w:color w:val="000000"/>
          <w:kern w:val="0"/>
          <w:sz w:val="32"/>
          <w:szCs w:val="32"/>
        </w:rPr>
        <w:t>门诊用药保障</w:t>
      </w:r>
      <w:r>
        <w:rPr>
          <w:rFonts w:hint="eastAsia" w:ascii="方正仿宋_GBK" w:hAnsi="方正仿宋_GBK" w:eastAsia="方正仿宋_GBK" w:cs="方正仿宋_GBK"/>
          <w:sz w:val="32"/>
          <w:szCs w:val="32"/>
        </w:rPr>
        <w:t>全覆盖。</w:t>
      </w:r>
    </w:p>
    <w:p>
      <w:pPr>
        <w:keepNext w:val="0"/>
        <w:keepLines w:val="0"/>
        <w:pageBreakBefore w:val="0"/>
        <w:widowControl w:val="0"/>
        <w:kinsoku/>
        <w:wordWrap/>
        <w:overflowPunct/>
        <w:topLinePunct w:val="0"/>
        <w:autoSpaceDE/>
        <w:autoSpaceDN/>
        <w:bidi w:val="0"/>
        <w:adjustRightInd/>
        <w:snapToGrid w:val="0"/>
        <w:spacing w:line="540" w:lineRule="exact"/>
        <w:ind w:firstLine="63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kern w:val="0"/>
          <w:sz w:val="32"/>
          <w:szCs w:val="32"/>
        </w:rPr>
        <w:t>二、各参保单位要加强“两病”门诊用药保障宣传，</w:t>
      </w:r>
      <w:r>
        <w:rPr>
          <w:rFonts w:hint="eastAsia" w:ascii="方正仿宋_GBK" w:hAnsi="方正仿宋_GBK" w:eastAsia="方正仿宋_GBK" w:cs="方正仿宋_GBK"/>
          <w:sz w:val="32"/>
          <w:szCs w:val="32"/>
        </w:rPr>
        <w:t>提高参保职工对政策的知晓度，确保符合</w:t>
      </w:r>
      <w:r>
        <w:rPr>
          <w:rFonts w:hint="eastAsia" w:ascii="方正仿宋_GBK" w:hAnsi="方正仿宋_GBK" w:eastAsia="方正仿宋_GBK" w:cs="方正仿宋_GBK"/>
          <w:color w:val="000000"/>
          <w:kern w:val="0"/>
          <w:sz w:val="32"/>
          <w:szCs w:val="32"/>
        </w:rPr>
        <w:t>“两病”诊断标准的</w:t>
      </w:r>
      <w:r>
        <w:rPr>
          <w:rFonts w:hint="eastAsia" w:ascii="方正仿宋_GBK" w:hAnsi="方正仿宋_GBK" w:eastAsia="方正仿宋_GBK" w:cs="方正仿宋_GBK"/>
          <w:sz w:val="32"/>
          <w:szCs w:val="32"/>
        </w:rPr>
        <w:t>参保人员实现早诊断、早预防、早治疗。</w:t>
      </w:r>
    </w:p>
    <w:p>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加强“两病”门诊用药监管。各协议医药机构要严格按照诊疗规范合理用药，对重复配药、超量配药、虚增费用、超范围用药等违规违约行为，将依法依规从严处理。坚决打击“两病”门诊用药中的欺诈骗保行为，确保医保基金合理安全使用。</w:t>
      </w:r>
    </w:p>
    <w:p>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四、各协议医药机构要加大“两病”药品集中带量采购和供应保障，备齐集中带量采购药品</w:t>
      </w:r>
      <w:r>
        <w:rPr>
          <w:rFonts w:hint="eastAsia" w:ascii="方正仿宋_GBK" w:hAnsi="方正仿宋_GBK" w:eastAsia="方正仿宋_GBK" w:cs="方正仿宋_GBK"/>
          <w:sz w:val="32"/>
          <w:szCs w:val="32"/>
          <w:lang w:eastAsia="zh-CN"/>
        </w:rPr>
        <w:t>。要</w:t>
      </w:r>
      <w:r>
        <w:rPr>
          <w:rFonts w:hint="eastAsia" w:ascii="方正仿宋_GBK" w:hAnsi="方正仿宋_GBK" w:eastAsia="方正仿宋_GBK" w:cs="方正仿宋_GBK"/>
          <w:sz w:val="32"/>
          <w:szCs w:val="32"/>
        </w:rPr>
        <w:t>优先使用国家和我市组织集中带量采购中选药品，确保“两病”</w:t>
      </w:r>
      <w:r>
        <w:rPr>
          <w:rFonts w:hint="eastAsia" w:ascii="方正仿宋_GBK" w:hAnsi="方正仿宋_GBK" w:eastAsia="方正仿宋_GBK" w:cs="方正仿宋_GBK"/>
          <w:sz w:val="32"/>
          <w:szCs w:val="32"/>
          <w:lang w:eastAsia="zh-CN"/>
        </w:rPr>
        <w:t>用</w:t>
      </w:r>
      <w:r>
        <w:rPr>
          <w:rFonts w:hint="eastAsia" w:ascii="方正仿宋_GBK" w:hAnsi="方正仿宋_GBK" w:eastAsia="方正仿宋_GBK" w:cs="方正仿宋_GBK"/>
          <w:sz w:val="32"/>
          <w:szCs w:val="32"/>
        </w:rPr>
        <w:t>药配得齐、开得出、用得上。</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1598" w:leftChars="304" w:hanging="960" w:hangingChars="300"/>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w:t>
      </w:r>
      <w:r>
        <w:rPr>
          <w:rFonts w:hint="eastAsia" w:ascii="方正仿宋_GBK" w:hAnsi="方正仿宋_GBK" w:eastAsia="方正仿宋_GBK" w:cs="方正仿宋_GBK"/>
          <w:spacing w:val="-11"/>
          <w:sz w:val="32"/>
          <w:szCs w:val="32"/>
        </w:rPr>
        <w:t>《重庆市医疗保障局关于做好城镇职工高血压糖尿病门诊用药保障的通知》（渝医保发〔2021〕32号）</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方正小标宋_GBK" w:eastAsia="方正小标宋_GBK"/>
          <w:sz w:val="44"/>
          <w:szCs w:val="44"/>
        </w:rPr>
      </w:pPr>
      <w:bookmarkStart w:id="0" w:name="_GoBack"/>
      <w:bookmarkEnd w:id="0"/>
    </w:p>
    <w:p>
      <w:pPr>
        <w:pStyle w:val="2"/>
        <w:keepNext w:val="0"/>
        <w:keepLines w:val="0"/>
        <w:pageBreakBefore w:val="0"/>
        <w:widowControl w:val="0"/>
        <w:kinsoku/>
        <w:wordWrap/>
        <w:overflowPunct/>
        <w:topLinePunct w:val="0"/>
        <w:bidi w:val="0"/>
        <w:adjustRightInd/>
        <w:snapToGrid/>
        <w:spacing w:line="460" w:lineRule="exact"/>
        <w:textAlignment w:val="auto"/>
      </w:pPr>
    </w:p>
    <w:p>
      <w:pPr>
        <w:keepNext w:val="0"/>
        <w:keepLines w:val="0"/>
        <w:pageBreakBefore w:val="0"/>
        <w:widowControl w:val="0"/>
        <w:kinsoku/>
        <w:wordWrap/>
        <w:overflowPunct/>
        <w:topLinePunct w:val="0"/>
        <w:bidi w:val="0"/>
        <w:adjustRightInd/>
        <w:snapToGrid/>
        <w:spacing w:line="500" w:lineRule="exact"/>
        <w:ind w:firstLine="4160" w:firstLineChars="1300"/>
        <w:textAlignment w:val="auto"/>
        <w:rPr>
          <w:rFonts w:ascii="Times New Roman" w:hAnsi="Times New Roman" w:eastAsia="方正仿宋_GBK"/>
          <w:color w:val="000000"/>
          <w:kern w:val="0"/>
          <w:sz w:val="32"/>
          <w:szCs w:val="32"/>
        </w:rPr>
      </w:pPr>
      <w:r>
        <w:rPr>
          <w:rFonts w:hint="eastAsia" w:ascii="Times New Roman" w:hAnsi="Times New Roman" w:eastAsia="方正仿宋_GBK"/>
          <w:color w:val="000000"/>
          <w:kern w:val="0"/>
          <w:sz w:val="32"/>
          <w:szCs w:val="32"/>
        </w:rPr>
        <w:t>重庆市黔江区医疗保障局</w:t>
      </w:r>
    </w:p>
    <w:p>
      <w:pPr>
        <w:keepNext w:val="0"/>
        <w:keepLines w:val="0"/>
        <w:pageBreakBefore w:val="0"/>
        <w:widowControl w:val="0"/>
        <w:kinsoku/>
        <w:wordWrap/>
        <w:overflowPunct/>
        <w:topLinePunct w:val="0"/>
        <w:bidi w:val="0"/>
        <w:adjustRightInd/>
        <w:snapToGrid/>
        <w:spacing w:line="500" w:lineRule="exact"/>
        <w:ind w:firstLine="640" w:firstLineChars="200"/>
        <w:textAlignment w:val="auto"/>
        <w:rPr>
          <w:rFonts w:ascii="方正仿宋_GBK" w:eastAsia="方正仿宋_GBK"/>
          <w:sz w:val="32"/>
          <w:szCs w:val="32"/>
        </w:rPr>
      </w:pPr>
      <w:r>
        <w:rPr>
          <w:rFonts w:hint="eastAsia" w:ascii="Times New Roman" w:hAnsi="Times New Roman" w:eastAsia="方正仿宋_GBK"/>
          <w:color w:val="000000"/>
          <w:kern w:val="0"/>
          <w:sz w:val="32"/>
          <w:szCs w:val="32"/>
        </w:rPr>
        <w:t xml:space="preserve">                    </w:t>
      </w:r>
      <w:r>
        <w:rPr>
          <w:rFonts w:hint="eastAsia" w:ascii="Times New Roman" w:hAnsi="Times New Roman" w:eastAsia="方正仿宋_GBK"/>
          <w:color w:val="000000"/>
          <w:kern w:val="0"/>
          <w:sz w:val="32"/>
          <w:szCs w:val="32"/>
          <w:lang w:val="en-US" w:eastAsia="zh-CN"/>
        </w:rPr>
        <w:t xml:space="preserve">    </w:t>
      </w:r>
      <w:r>
        <w:rPr>
          <w:rFonts w:hint="eastAsia" w:ascii="Times New Roman" w:hAnsi="Times New Roman" w:eastAsia="方正仿宋_GBK"/>
          <w:color w:val="000000"/>
          <w:kern w:val="0"/>
          <w:sz w:val="32"/>
          <w:szCs w:val="32"/>
        </w:rPr>
        <w:t xml:space="preserve"> 2021年</w:t>
      </w:r>
      <w:r>
        <w:rPr>
          <w:rFonts w:hint="eastAsia" w:ascii="Times New Roman" w:hAnsi="Times New Roman" w:eastAsia="方正仿宋_GBK"/>
          <w:color w:val="000000"/>
          <w:kern w:val="0"/>
          <w:sz w:val="32"/>
          <w:szCs w:val="32"/>
          <w:lang w:val="en-US" w:eastAsia="zh-CN"/>
        </w:rPr>
        <w:t>7</w:t>
      </w:r>
      <w:r>
        <w:rPr>
          <w:rFonts w:hint="eastAsia" w:ascii="Times New Roman" w:hAnsi="Times New Roman" w:eastAsia="方正仿宋_GBK"/>
          <w:color w:val="000000"/>
          <w:kern w:val="0"/>
          <w:sz w:val="32"/>
          <w:szCs w:val="32"/>
        </w:rPr>
        <w:t>月</w:t>
      </w:r>
      <w:r>
        <w:rPr>
          <w:rFonts w:hint="eastAsia" w:ascii="Times New Roman" w:hAnsi="Times New Roman" w:eastAsia="方正仿宋_GBK"/>
          <w:color w:val="000000"/>
          <w:kern w:val="0"/>
          <w:sz w:val="32"/>
          <w:szCs w:val="32"/>
          <w:lang w:val="en-US" w:eastAsia="zh-CN"/>
        </w:rPr>
        <w:t>1</w:t>
      </w:r>
      <w:r>
        <w:rPr>
          <w:rFonts w:hint="eastAsia" w:ascii="Times New Roman" w:hAnsi="Times New Roman" w:eastAsia="方正仿宋_GBK"/>
          <w:color w:val="000000"/>
          <w:kern w:val="0"/>
          <w:sz w:val="32"/>
          <w:szCs w:val="32"/>
        </w:rPr>
        <w:t>日</w:t>
      </w:r>
    </w:p>
    <w:p>
      <w:pPr>
        <w:pStyle w:val="2"/>
        <w:keepNext w:val="0"/>
        <w:keepLines w:val="0"/>
        <w:pageBreakBefore w:val="0"/>
        <w:widowControl w:val="0"/>
        <w:kinsoku/>
        <w:wordWrap/>
        <w:overflowPunct/>
        <w:topLinePunct w:val="0"/>
        <w:autoSpaceDE w:val="0"/>
        <w:autoSpaceDN w:val="0"/>
        <w:bidi w:val="0"/>
        <w:adjustRightInd/>
        <w:snapToGrid/>
        <w:spacing w:line="400" w:lineRule="exact"/>
        <w:textAlignment w:val="auto"/>
      </w:pPr>
    </w:p>
    <w:p>
      <w:pPr>
        <w:pStyle w:val="3"/>
      </w:pPr>
    </w:p>
    <w:p>
      <w:pPr>
        <w:snapToGrid w:val="0"/>
        <w:spacing w:line="400" w:lineRule="exact"/>
        <w:ind w:right="15" w:firstLine="280" w:firstLineChars="100"/>
        <w:rPr>
          <w:rFonts w:ascii="Times New Roman" w:hAnsi="Times New Roman"/>
        </w:rPr>
      </w:pPr>
      <w:r>
        <w:rPr>
          <w:rFonts w:ascii="Times New Roman" w:hAnsi="Times New Roman" w:eastAsia="方正仿宋_GBK"/>
          <w:sz w:val="28"/>
          <w:szCs w:val="28"/>
        </w:rPr>
        <w:pict>
          <v:line id="_x0000_s1033" o:spid="_x0000_s1033" o:spt="20" style="position:absolute;left:0pt;margin-left:0.1pt;margin-top:-2.15pt;height:0pt;width:447.65pt;z-index:251675648;mso-width-relative:page;mso-height-relative:page;" coordsize="21600,21600">
            <v:path arrowok="t"/>
            <v:fill focussize="0,0"/>
            <v:stroke weight="1.25pt"/>
            <v:imagedata o:title=""/>
            <o:lock v:ext="edit"/>
          </v:line>
        </w:pict>
      </w:r>
      <w:r>
        <w:rPr>
          <w:rFonts w:ascii="Times New Roman" w:hAnsi="Times New Roman" w:eastAsia="方正仿宋_GBK"/>
          <w:sz w:val="28"/>
          <w:szCs w:val="28"/>
        </w:rPr>
        <w:pict>
          <v:line id="_x0000_s1031" o:spid="_x0000_s1031" o:spt="20" style="position:absolute;left:0pt;margin-left:-1.4pt;margin-top:23.35pt;height:0pt;width:447.65pt;z-index:251666432;mso-width-relative:page;mso-height-relative:page;" coordsize="21600,21600">
            <v:path arrowok="t"/>
            <v:fill focussize="0,0"/>
            <v:stroke weight="1.25pt"/>
            <v:imagedata o:title=""/>
            <o:lock v:ext="edit"/>
          </v:line>
        </w:pict>
      </w:r>
      <w:r>
        <w:rPr>
          <w:rFonts w:ascii="Times New Roman" w:hAnsi="Times New Roman" w:eastAsia="方正仿宋_GBK"/>
          <w:sz w:val="28"/>
          <w:szCs w:val="28"/>
        </w:rPr>
        <w:t xml:space="preserve">重庆市黔江区医疗保障局办公室            </w:t>
      </w:r>
      <w:r>
        <w:rPr>
          <w:rFonts w:hint="eastAsia" w:ascii="Times New Roman" w:hAnsi="Times New Roman" w:eastAsia="方正仿宋_GBK"/>
          <w:sz w:val="28"/>
          <w:szCs w:val="28"/>
        </w:rPr>
        <w:t xml:space="preserve"> </w:t>
      </w:r>
      <w:r>
        <w:rPr>
          <w:rFonts w:ascii="Times New Roman" w:hAnsi="Times New Roman" w:eastAsia="方正仿宋_GBK"/>
          <w:sz w:val="28"/>
          <w:szCs w:val="28"/>
        </w:rPr>
        <w:t>20</w:t>
      </w:r>
      <w:r>
        <w:rPr>
          <w:rFonts w:hint="eastAsia" w:ascii="Times New Roman" w:hAnsi="Times New Roman" w:eastAsia="方正仿宋_GBK"/>
          <w:sz w:val="28"/>
          <w:szCs w:val="28"/>
        </w:rPr>
        <w:t>21</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7</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1</w:t>
      </w:r>
      <w:r>
        <w:rPr>
          <w:rFonts w:ascii="Times New Roman" w:hAnsi="Times New Roman" w:eastAsia="方正仿宋_GBK"/>
          <w:sz w:val="28"/>
          <w:szCs w:val="28"/>
        </w:rPr>
        <w:t>日印发</w:t>
      </w:r>
    </w:p>
    <w:sectPr>
      <w:footerReference r:id="rId3" w:type="default"/>
      <w:footerReference r:id="rId4" w:type="even"/>
      <w:pgSz w:w="11906" w:h="16838"/>
      <w:pgMar w:top="2098" w:right="1531" w:bottom="1985" w:left="1531" w:header="1701" w:footer="1588" w:gutter="0"/>
      <w:cols w:space="720" w:num="1"/>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楷体_GBK">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等线 Light">
    <w:altName w:val="宋体"/>
    <w:panose1 w:val="00000000000000000000"/>
    <w:charset w:val="86"/>
    <w:family w:val="roman"/>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280"/>
      <w:jc w:val="righ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Style w:val="11"/>
        <w:rFonts w:ascii="宋体" w:hAnsi="宋体" w:eastAsia="宋体"/>
        <w:sz w:val="28"/>
        <w:szCs w:val="28"/>
      </w:rPr>
      <w:instrText xml:space="preserve"> PAGE </w:instrText>
    </w:r>
    <w:r>
      <w:rPr>
        <w:rFonts w:ascii="宋体" w:hAnsi="宋体" w:eastAsia="宋体"/>
        <w:sz w:val="28"/>
        <w:szCs w:val="28"/>
      </w:rPr>
      <w:fldChar w:fldCharType="separate"/>
    </w:r>
    <w:r>
      <w:rPr>
        <w:rStyle w:val="11"/>
        <w:rFonts w:ascii="宋体" w:hAnsi="宋体" w:eastAsia="宋体"/>
        <w:sz w:val="28"/>
        <w:szCs w:val="28"/>
      </w:rPr>
      <w:t>1</w:t>
    </w:r>
    <w:r>
      <w:rPr>
        <w:rFonts w:ascii="宋体" w:hAnsi="宋体" w:eastAsia="宋体"/>
        <w:sz w:val="28"/>
        <w:szCs w:val="28"/>
      </w:rPr>
      <w:fldChar w:fldCharType="end"/>
    </w:r>
    <w:r>
      <w:rPr>
        <w:rStyle w:val="11"/>
        <w:rFonts w:hint="eastAsia" w:ascii="宋体" w:hAnsi="宋体" w:eastAsia="宋体"/>
        <w:sz w:val="28"/>
        <w:szCs w:val="28"/>
      </w:rPr>
      <w:t xml:space="preserve"> </w:t>
    </w:r>
    <w:r>
      <w:rPr>
        <w:rFonts w:hint="eastAsia" w:ascii="宋体" w:hAnsi="宋体" w:eastAsia="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840"/>
      <w:rPr>
        <w:rFonts w:ascii="宋体" w:hAnsi="宋体" w:eastAsia="宋体"/>
        <w:sz w:val="28"/>
        <w:szCs w:val="28"/>
      </w:rPr>
    </w:pPr>
    <w:r>
      <w:rPr>
        <w:rFonts w:hint="eastAsia" w:ascii="宋体" w:hAnsi="宋体" w:eastAsia="宋体"/>
        <w:sz w:val="28"/>
        <w:szCs w:val="28"/>
      </w:rPr>
      <w:t xml:space="preserve">　— </w:t>
    </w:r>
    <w:r>
      <w:rPr>
        <w:rFonts w:ascii="宋体" w:hAnsi="宋体" w:eastAsia="宋体"/>
        <w:sz w:val="28"/>
        <w:szCs w:val="28"/>
      </w:rPr>
      <w:fldChar w:fldCharType="begin"/>
    </w:r>
    <w:r>
      <w:rPr>
        <w:rStyle w:val="11"/>
        <w:rFonts w:ascii="宋体" w:hAnsi="宋体" w:eastAsia="宋体"/>
        <w:sz w:val="28"/>
        <w:szCs w:val="28"/>
      </w:rPr>
      <w:instrText xml:space="preserve"> PAGE </w:instrText>
    </w:r>
    <w:r>
      <w:rPr>
        <w:rFonts w:ascii="宋体" w:hAnsi="宋体" w:eastAsia="宋体"/>
        <w:sz w:val="28"/>
        <w:szCs w:val="28"/>
      </w:rPr>
      <w:fldChar w:fldCharType="separate"/>
    </w:r>
    <w:r>
      <w:rPr>
        <w:rStyle w:val="11"/>
        <w:rFonts w:ascii="宋体" w:hAnsi="宋体" w:eastAsia="宋体"/>
        <w:sz w:val="28"/>
        <w:szCs w:val="28"/>
      </w:rPr>
      <w:t>2</w:t>
    </w:r>
    <w:r>
      <w:rPr>
        <w:rFonts w:ascii="宋体" w:hAnsi="宋体" w:eastAsia="宋体"/>
        <w:sz w:val="28"/>
        <w:szCs w:val="28"/>
      </w:rPr>
      <w:fldChar w:fldCharType="end"/>
    </w:r>
    <w:r>
      <w:rPr>
        <w:rStyle w:val="11"/>
        <w:rFonts w:hint="eastAsia" w:ascii="宋体" w:hAnsi="宋体" w:eastAsia="宋体"/>
        <w:sz w:val="28"/>
        <w:szCs w:val="28"/>
      </w:rPr>
      <w:t xml:space="preserve"> </w:t>
    </w:r>
    <w:r>
      <w:rPr>
        <w:rFonts w:hint="eastAsia" w:ascii="宋体" w:hAnsi="宋体" w:eastAsia="宋体"/>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B9CAC67"/>
    <w:multiLevelType w:val="singleLevel"/>
    <w:tmpl w:val="EB9CAC6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2500F"/>
    <w:rsid w:val="000259CE"/>
    <w:rsid w:val="000316D6"/>
    <w:rsid w:val="0003246A"/>
    <w:rsid w:val="000379CA"/>
    <w:rsid w:val="00046162"/>
    <w:rsid w:val="00072BCE"/>
    <w:rsid w:val="000956CC"/>
    <w:rsid w:val="0012114D"/>
    <w:rsid w:val="00122752"/>
    <w:rsid w:val="00164011"/>
    <w:rsid w:val="00166047"/>
    <w:rsid w:val="001914E4"/>
    <w:rsid w:val="00193C9F"/>
    <w:rsid w:val="00256AB7"/>
    <w:rsid w:val="00295B40"/>
    <w:rsid w:val="002A40D9"/>
    <w:rsid w:val="002C042F"/>
    <w:rsid w:val="002C22B8"/>
    <w:rsid w:val="002C59E2"/>
    <w:rsid w:val="002C6415"/>
    <w:rsid w:val="002D493F"/>
    <w:rsid w:val="00310201"/>
    <w:rsid w:val="00322B39"/>
    <w:rsid w:val="00326F8D"/>
    <w:rsid w:val="0034213B"/>
    <w:rsid w:val="003C39CA"/>
    <w:rsid w:val="004012A4"/>
    <w:rsid w:val="00403979"/>
    <w:rsid w:val="004146E0"/>
    <w:rsid w:val="0046057B"/>
    <w:rsid w:val="0047789C"/>
    <w:rsid w:val="00482409"/>
    <w:rsid w:val="004B6504"/>
    <w:rsid w:val="004D3243"/>
    <w:rsid w:val="004E2D19"/>
    <w:rsid w:val="00512F55"/>
    <w:rsid w:val="00521F92"/>
    <w:rsid w:val="00527FFC"/>
    <w:rsid w:val="0053314B"/>
    <w:rsid w:val="00553290"/>
    <w:rsid w:val="0059134F"/>
    <w:rsid w:val="005950B6"/>
    <w:rsid w:val="005A1FF1"/>
    <w:rsid w:val="006112DC"/>
    <w:rsid w:val="006B7580"/>
    <w:rsid w:val="006D5EFF"/>
    <w:rsid w:val="006E0698"/>
    <w:rsid w:val="006E1470"/>
    <w:rsid w:val="00717181"/>
    <w:rsid w:val="00725AAB"/>
    <w:rsid w:val="007A0D06"/>
    <w:rsid w:val="007B19E6"/>
    <w:rsid w:val="007E39D7"/>
    <w:rsid w:val="007E7998"/>
    <w:rsid w:val="007F29B3"/>
    <w:rsid w:val="008054C2"/>
    <w:rsid w:val="00822DC0"/>
    <w:rsid w:val="00873021"/>
    <w:rsid w:val="00883473"/>
    <w:rsid w:val="008911FA"/>
    <w:rsid w:val="0092619A"/>
    <w:rsid w:val="00926F1A"/>
    <w:rsid w:val="00944644"/>
    <w:rsid w:val="00955BD5"/>
    <w:rsid w:val="00976BDC"/>
    <w:rsid w:val="0098035C"/>
    <w:rsid w:val="0098658C"/>
    <w:rsid w:val="009A47ED"/>
    <w:rsid w:val="009C29CD"/>
    <w:rsid w:val="009C43B0"/>
    <w:rsid w:val="009D0788"/>
    <w:rsid w:val="009E0233"/>
    <w:rsid w:val="00A02101"/>
    <w:rsid w:val="00A2500F"/>
    <w:rsid w:val="00A268C8"/>
    <w:rsid w:val="00A510CE"/>
    <w:rsid w:val="00A579EC"/>
    <w:rsid w:val="00AB2A80"/>
    <w:rsid w:val="00AD6A10"/>
    <w:rsid w:val="00AF043E"/>
    <w:rsid w:val="00B057DC"/>
    <w:rsid w:val="00B07196"/>
    <w:rsid w:val="00B11DC7"/>
    <w:rsid w:val="00B30BB1"/>
    <w:rsid w:val="00B75AD0"/>
    <w:rsid w:val="00BC148F"/>
    <w:rsid w:val="00BD2C77"/>
    <w:rsid w:val="00BF3B19"/>
    <w:rsid w:val="00C10D9B"/>
    <w:rsid w:val="00C40926"/>
    <w:rsid w:val="00CD6688"/>
    <w:rsid w:val="00D14FF4"/>
    <w:rsid w:val="00DE1170"/>
    <w:rsid w:val="00DE3512"/>
    <w:rsid w:val="00DE5A9E"/>
    <w:rsid w:val="00E30A1A"/>
    <w:rsid w:val="00E31F2A"/>
    <w:rsid w:val="00E43648"/>
    <w:rsid w:val="00E63B68"/>
    <w:rsid w:val="00E9432F"/>
    <w:rsid w:val="00E950C9"/>
    <w:rsid w:val="00EA093D"/>
    <w:rsid w:val="00EB4924"/>
    <w:rsid w:val="00EC195C"/>
    <w:rsid w:val="00EC33A5"/>
    <w:rsid w:val="00ED3282"/>
    <w:rsid w:val="00EF5BF8"/>
    <w:rsid w:val="00F01CD0"/>
    <w:rsid w:val="00F113B3"/>
    <w:rsid w:val="00F602D2"/>
    <w:rsid w:val="00F8258D"/>
    <w:rsid w:val="00F92259"/>
    <w:rsid w:val="00FD3997"/>
    <w:rsid w:val="00FE45AC"/>
    <w:rsid w:val="00FE7164"/>
    <w:rsid w:val="03EA1B0E"/>
    <w:rsid w:val="1AF87A72"/>
    <w:rsid w:val="2192399F"/>
    <w:rsid w:val="332A0387"/>
    <w:rsid w:val="36213A6F"/>
    <w:rsid w:val="4A6A4F04"/>
    <w:rsid w:val="4CA26ECE"/>
    <w:rsid w:val="5514515C"/>
    <w:rsid w:val="5FEA5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1"/>
    <w:pPr>
      <w:autoSpaceDE w:val="0"/>
      <w:autoSpaceDN w:val="0"/>
      <w:jc w:val="left"/>
    </w:pPr>
    <w:rPr>
      <w:rFonts w:ascii="宋体" w:hAnsi="宋体" w:cs="宋体"/>
      <w:kern w:val="0"/>
      <w:sz w:val="29"/>
      <w:szCs w:val="29"/>
      <w:lang w:eastAsia="en-US"/>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4">
    <w:name w:val="Date"/>
    <w:basedOn w:val="1"/>
    <w:next w:val="1"/>
    <w:link w:val="14"/>
    <w:semiHidden/>
    <w:unhideWhenUsed/>
    <w:qFormat/>
    <w:uiPriority w:val="99"/>
    <w:pPr>
      <w:ind w:left="100" w:leftChars="2500"/>
    </w:pPr>
  </w:style>
  <w:style w:type="paragraph" w:styleId="5">
    <w:name w:val="footer"/>
    <w:basedOn w:val="1"/>
    <w:link w:val="12"/>
    <w:qFormat/>
    <w:uiPriority w:val="99"/>
    <w:pPr>
      <w:tabs>
        <w:tab w:val="center" w:pos="4153"/>
        <w:tab w:val="right" w:pos="8306"/>
      </w:tabs>
      <w:snapToGrid w:val="0"/>
      <w:jc w:val="left"/>
    </w:pPr>
    <w:rPr>
      <w:rFonts w:ascii="Times New Roman" w:hAnsi="Times New Roman" w:eastAsia="方正仿宋_GBK"/>
      <w:kern w:val="0"/>
      <w:sz w:val="18"/>
      <w:szCs w:val="20"/>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8">
    <w:name w:val="Title"/>
    <w:basedOn w:val="1"/>
    <w:next w:val="1"/>
    <w:qFormat/>
    <w:uiPriority w:val="0"/>
    <w:pPr>
      <w:spacing w:before="240" w:after="60"/>
      <w:jc w:val="center"/>
      <w:outlineLvl w:val="0"/>
    </w:pPr>
    <w:rPr>
      <w:rFonts w:ascii="等线 Light" w:hAnsi="等线 Light" w:eastAsia="等线 Light" w:cs="Times New Roman"/>
      <w:b/>
      <w:bCs/>
      <w:kern w:val="0"/>
      <w:sz w:val="32"/>
      <w:szCs w:val="32"/>
    </w:rPr>
  </w:style>
  <w:style w:type="character" w:styleId="11">
    <w:name w:val="page number"/>
    <w:qFormat/>
    <w:uiPriority w:val="99"/>
  </w:style>
  <w:style w:type="character" w:customStyle="1" w:styleId="12">
    <w:name w:val="页脚 Char"/>
    <w:basedOn w:val="10"/>
    <w:link w:val="5"/>
    <w:qFormat/>
    <w:uiPriority w:val="99"/>
    <w:rPr>
      <w:rFonts w:ascii="Times New Roman" w:hAnsi="Times New Roman" w:eastAsia="方正仿宋_GBK" w:cs="Times New Roman"/>
      <w:kern w:val="0"/>
      <w:sz w:val="18"/>
      <w:szCs w:val="20"/>
    </w:rPr>
  </w:style>
  <w:style w:type="character" w:customStyle="1" w:styleId="13">
    <w:name w:val="页眉 Char"/>
    <w:basedOn w:val="10"/>
    <w:link w:val="6"/>
    <w:semiHidden/>
    <w:qFormat/>
    <w:uiPriority w:val="99"/>
    <w:rPr>
      <w:rFonts w:ascii="Calibri" w:hAnsi="Calibri" w:eastAsia="宋体" w:cs="Times New Roman"/>
      <w:sz w:val="18"/>
      <w:szCs w:val="18"/>
    </w:rPr>
  </w:style>
  <w:style w:type="character" w:customStyle="1" w:styleId="14">
    <w:name w:val="日期 Char"/>
    <w:basedOn w:val="10"/>
    <w:link w:val="4"/>
    <w:semiHidden/>
    <w:qFormat/>
    <w:uiPriority w:val="99"/>
    <w:rPr>
      <w:rFonts w:ascii="Calibri" w:hAnsi="Calibri" w:eastAsia="宋体" w:cs="Times New Roman"/>
    </w:rPr>
  </w:style>
  <w:style w:type="paragraph" w:customStyle="1" w:styleId="15">
    <w:name w:val="List Paragraph1"/>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33"/>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2</Pages>
  <Words>98</Words>
  <Characters>563</Characters>
  <Lines>4</Lines>
  <Paragraphs>1</Paragraphs>
  <TotalTime>2</TotalTime>
  <ScaleCrop>false</ScaleCrop>
  <LinksUpToDate>false</LinksUpToDate>
  <CharactersWithSpaces>660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2020-04-02T08:56:00Z</dcterms:created>
  <dc:creator>null</dc:creator>
  <cp:lastModifiedBy>Demon。</cp:lastModifiedBy>
  <cp:lastPrinted>2021-06-02T07:55:00Z</cp:lastPrinted>
  <dcterms:modified xsi:type="dcterms:W3CDTF">2021-07-01T08:34:09Z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363106431_btnclosed</vt:lpwstr>
  </property>
  <property fmtid="{D5CDD505-2E9C-101B-9397-08002B2CF9AE}" pid="3" name="KSOProductBuildVer">
    <vt:lpwstr>2052-11.1.0.10314</vt:lpwstr>
  </property>
</Properties>
</file>